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X="-342" w:tblpY="181"/>
        <w:tblW w:w="10638" w:type="dxa"/>
        <w:tblLook w:val="01E0" w:firstRow="1" w:lastRow="1" w:firstColumn="1" w:lastColumn="1" w:noHBand="0" w:noVBand="0"/>
      </w:tblPr>
      <w:tblGrid>
        <w:gridCol w:w="4698"/>
        <w:gridCol w:w="5940"/>
      </w:tblGrid>
      <w:tr w:rsidR="00CB71B9" w14:paraId="33FEB592" w14:textId="77777777" w:rsidTr="00CB71B9">
        <w:trPr>
          <w:trHeight w:val="1348"/>
        </w:trPr>
        <w:tc>
          <w:tcPr>
            <w:tcW w:w="4698" w:type="dxa"/>
          </w:tcPr>
          <w:p w14:paraId="5344DA34" w14:textId="5DB52305" w:rsidR="00CB71B9" w:rsidRDefault="00A6552F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11674"/>
            <w:r>
              <w:rPr>
                <w:rFonts w:ascii="Times New Roman" w:hAnsi="Times New Roman" w:cs="Times New Roman"/>
                <w:sz w:val="24"/>
                <w:szCs w:val="24"/>
              </w:rPr>
              <w:t>UBND</w:t>
            </w:r>
            <w:r w:rsidR="00CB71B9">
              <w:rPr>
                <w:rFonts w:ascii="Times New Roman" w:hAnsi="Times New Roman" w:cs="Times New Roman"/>
                <w:sz w:val="24"/>
                <w:szCs w:val="24"/>
              </w:rPr>
              <w:t xml:space="preserve"> HUYỆN CƯMGAR</w:t>
            </w:r>
          </w:p>
          <w:p w14:paraId="1373E9B1" w14:textId="77777777" w:rsidR="00CB71B9" w:rsidRDefault="00CB71B9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C3BB96" wp14:editId="280027E9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187960</wp:posOffset>
                      </wp:positionV>
                      <wp:extent cx="12573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E6D6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pt,14.8pt" to="15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ĐOÀN THỊ ĐIỂM</w:t>
            </w:r>
          </w:p>
          <w:p w14:paraId="60D8D4E2" w14:textId="77777777" w:rsidR="00CB71B9" w:rsidRDefault="00CB71B9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6BDB08" w14:textId="77777777" w:rsidR="00CB71B9" w:rsidRDefault="00CB71B9" w:rsidP="002D1F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Pháp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</w:p>
        </w:tc>
        <w:tc>
          <w:tcPr>
            <w:tcW w:w="5940" w:type="dxa"/>
          </w:tcPr>
          <w:p w14:paraId="39BEC88E" w14:textId="77777777" w:rsidR="00CB71B9" w:rsidRDefault="00CB71B9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720B2CB" w14:textId="77777777" w:rsidR="00CB71B9" w:rsidRDefault="00CB71B9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907D4E3" wp14:editId="2C7EC7A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203835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981B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6.05pt" to="20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Y+l8LNsAAAAJAQAADwAAAAAAAAAAAAAAAAB3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C781353" w14:textId="77777777" w:rsidR="00CB71B9" w:rsidRDefault="00CB71B9" w:rsidP="002D1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A4179" w14:textId="65FBE337" w:rsidR="00CB71B9" w:rsidRDefault="00CB71B9" w:rsidP="002D1FF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EaDrơng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552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67A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7AB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A442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A67AB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bookmarkEnd w:id="0"/>
    </w:tbl>
    <w:p w14:paraId="4D886A1F" w14:textId="77777777" w:rsidR="00CB71B9" w:rsidRDefault="00CB71B9" w:rsidP="002D1FF2">
      <w:pPr>
        <w:pStyle w:val="Heading1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14:paraId="055BF710" w14:textId="77777777" w:rsidR="00CB71B9" w:rsidRDefault="00CB71B9" w:rsidP="002D1FF2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TUYÊN TRUYỀN</w:t>
      </w:r>
    </w:p>
    <w:p w14:paraId="57DF1D32" w14:textId="77777777" w:rsidR="00A67AB0" w:rsidRDefault="002D1FF2" w:rsidP="002D1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TÁC PCCC &amp; CNCH TRƯỜNG HỌC</w:t>
      </w:r>
      <w:r w:rsidR="00CB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21E573" w14:textId="6F561F44" w:rsidR="00C333B3" w:rsidRDefault="00A67AB0" w:rsidP="002D1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p w14:paraId="136C2EF1" w14:textId="77777777" w:rsidR="004256F0" w:rsidRDefault="004256F0" w:rsidP="002D1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195F0" w14:textId="77777777" w:rsidR="002D1FF2" w:rsidRDefault="002D1FF2" w:rsidP="002D1FF2">
      <w:pPr>
        <w:shd w:val="clear" w:color="auto" w:fill="FFFFFF"/>
        <w:spacing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</w:p>
    <w:p w14:paraId="2CF1EF7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(PCCC)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(CNCH)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sả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7D0C9C" w14:textId="77777777" w:rsidR="002D1FF2" w:rsidRPr="002D1FF2" w:rsidRDefault="002D1FF2" w:rsidP="002D1FF2">
      <w:pPr>
        <w:shd w:val="clear" w:color="auto" w:fill="FFFFFF"/>
        <w:spacing w:after="0" w:line="360" w:lineRule="auto"/>
        <w:ind w:firstLine="450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nguy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họ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5059AF16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Nguyên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do vi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PCCC; do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1B9EC6D8" w14:textId="77777777" w:rsidR="002D1FF2" w:rsidRPr="002D1FF2" w:rsidRDefault="002D1FF2" w:rsidP="002D1FF2">
      <w:pPr>
        <w:shd w:val="clear" w:color="auto" w:fill="FFFFFF"/>
        <w:spacing w:after="0" w:line="360" w:lineRule="auto"/>
        <w:ind w:firstLine="450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II. Các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biện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họ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353F1CDE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14346A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FAD5AE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Trang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E4399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Trường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Phương </w:t>
      </w:r>
      <w:proofErr w:type="spellStart"/>
      <w:proofErr w:type="gramStart"/>
      <w:r w:rsidRPr="002D1F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proofErr w:type="gram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hoăc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.</w:t>
      </w:r>
    </w:p>
    <w:p w14:paraId="17825DB4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lastRenderedPageBreak/>
        <w:t xml:space="preserve">- Khu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5181ED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F2627F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diêm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B996A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Lực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D5498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72971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1BE990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DBEB70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E41562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PCCC.</w:t>
      </w:r>
    </w:p>
    <w:p w14:paraId="1C153E7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09805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III. Các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biện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họ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658D7D2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1. Khi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cầ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</w:p>
    <w:p w14:paraId="0006D1E2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</w:p>
    <w:p w14:paraId="20AE6B9F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63862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1E9A6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Thông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Báo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114.</w:t>
      </w:r>
    </w:p>
    <w:p w14:paraId="501539A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búa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rìu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lastRenderedPageBreak/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51A14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Khi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A4B999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2. Các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biện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thuậ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70DAC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85E6F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FAC0C4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Lực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C1DEA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Bình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881A30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619C2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B0294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IV.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họ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162B9F86" w14:textId="77777777" w:rsidR="002D1FF2" w:rsidRPr="002D1FF2" w:rsidRDefault="002D1FF2" w:rsidP="002463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1.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biệt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dạng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khô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dạ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C02</w:t>
      </w:r>
    </w:p>
    <w:p w14:paraId="2293834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Bình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0.4m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loa.</w:t>
      </w:r>
    </w:p>
    <w:p w14:paraId="10207CC9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495FE8C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14E16" w14:textId="77777777" w:rsidR="002D1FF2" w:rsidRPr="002D1FF2" w:rsidRDefault="002D1FF2" w:rsidP="002463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DAC9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lastRenderedPageBreak/>
        <w:t xml:space="preserve">Bình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63B802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Bình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than hay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ko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970EAD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proofErr w:type="gram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 w:rsidRPr="002D1FF2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1AD68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dạng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khô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dạ</w:t>
      </w:r>
      <w:r>
        <w:rPr>
          <w:rFonts w:ascii="Times New Roman" w:hAnsi="Times New Roman" w:cs="Times New Roman"/>
          <w:b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C02</w:t>
      </w:r>
    </w:p>
    <w:p w14:paraId="6BA56836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9BD80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BB5A7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kẹ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8B2DFF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loa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707F8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1,5 – 4m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nhự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ED858F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Bóp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van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14:paraId="7CDA0B84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– Khi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loa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F8B6AC" w14:textId="77777777" w:rsidR="002D1FF2" w:rsidRPr="002D1FF2" w:rsidRDefault="002D1FF2" w:rsidP="002463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   3. Lưu ý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chữ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</w:p>
    <w:p w14:paraId="0784B7B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Phạm vi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4m. Bình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89533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MT3,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3kg +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~8,5kg = 11,5kg,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lastRenderedPageBreak/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 MT5,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5kg +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~</w:t>
      </w:r>
      <w:r>
        <w:rPr>
          <w:rFonts w:ascii="Times New Roman" w:hAnsi="Times New Roman" w:cs="Times New Roman"/>
          <w:sz w:val="28"/>
          <w:szCs w:val="28"/>
        </w:rPr>
        <w:t xml:space="preserve">9,5kg = 14,5kg,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49DCA9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Bình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0A3396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Bình CO2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oxy.</w:t>
      </w:r>
    </w:p>
    <w:p w14:paraId="20DD0CFD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Bảo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râm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55*C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481C14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Thường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Loa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van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14:paraId="786A00C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3 – 4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sét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.</w:t>
      </w:r>
    </w:p>
    <w:p w14:paraId="15ABF5F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V.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Kĩ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thoát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hiểm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họ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0108806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1. Khi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xả</w:t>
      </w:r>
      <w:r>
        <w:rPr>
          <w:rFonts w:ascii="Times New Roman" w:hAnsi="Times New Roman" w:cs="Times New Roman"/>
          <w:b/>
          <w:i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</w:t>
      </w:r>
      <w:proofErr w:type="spellEnd"/>
    </w:p>
    <w:p w14:paraId="3E33415E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Ngay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F5F8B57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7165E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2: Báo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ý.</w:t>
      </w:r>
    </w:p>
    <w:p w14:paraId="5C5EBB2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3E095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114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thôn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F9A12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…</w:t>
      </w:r>
    </w:p>
    <w:p w14:paraId="52A83EBE" w14:textId="77777777" w:rsidR="002D1FF2" w:rsidRPr="002D1FF2" w:rsidRDefault="002D1FF2" w:rsidP="002463A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.</w:t>
      </w:r>
    </w:p>
    <w:p w14:paraId="1B7BD63E" w14:textId="77777777" w:rsidR="002D1FF2" w:rsidRPr="002D1FF2" w:rsidRDefault="002D1FF2" w:rsidP="002463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 2.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bắt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quầ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áo</w:t>
      </w:r>
      <w:proofErr w:type="spellEnd"/>
    </w:p>
    <w:p w14:paraId="78D6CC7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lastRenderedPageBreak/>
        <w:t xml:space="preserve">- Bình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6F813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BD28F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14:paraId="3ED993F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thấy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cháy</w:t>
      </w:r>
      <w:proofErr w:type="spellEnd"/>
    </w:p>
    <w:p w14:paraId="3C0DB3A9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B220D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tẩm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A234F6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khỏ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D6BA6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ngừng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thở</w:t>
      </w:r>
      <w:proofErr w:type="spellEnd"/>
    </w:p>
    <w:p w14:paraId="5DB8DC3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E47CE0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1 chu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tim.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chu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9769E1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khỏ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14:paraId="52C5A1A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bỏng</w:t>
      </w:r>
      <w:proofErr w:type="spellEnd"/>
    </w:p>
    <w:p w14:paraId="02D82186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16 - 200 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đun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nguội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giế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14:paraId="388AC39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chậu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dội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ướ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7E03EC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694895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khỏ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12396B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sơ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cứu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hít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2D1F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b/>
          <w:i/>
          <w:sz w:val="28"/>
          <w:szCs w:val="28"/>
        </w:rPr>
        <w:t>khói</w:t>
      </w:r>
      <w:proofErr w:type="spellEnd"/>
    </w:p>
    <w:p w14:paraId="4B31AE0A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EE8C5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8A2C10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.</w:t>
      </w:r>
    </w:p>
    <w:p w14:paraId="64C92878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Cho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14:paraId="14226873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bỏng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0DC9FD" w14:textId="77777777" w:rsidR="002D1FF2" w:rsidRPr="002D1FF2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khỏ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14:paraId="370AA9F4" w14:textId="77777777" w:rsidR="00756BD7" w:rsidRDefault="002D1FF2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D1FF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CNCH: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CO2.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CNCH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PCCC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CNCH,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D1FF2">
        <w:rPr>
          <w:rFonts w:ascii="Times New Roman" w:hAnsi="Times New Roman" w:cs="Times New Roman"/>
          <w:sz w:val="28"/>
          <w:szCs w:val="28"/>
        </w:rPr>
        <w:t>.</w:t>
      </w:r>
    </w:p>
    <w:p w14:paraId="2F26D493" w14:textId="77777777" w:rsidR="00756BD7" w:rsidRDefault="00756BD7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</w:p>
    <w:p w14:paraId="7FB5EA8F" w14:textId="77777777" w:rsidR="00756BD7" w:rsidRDefault="00756BD7" w:rsidP="002463A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</w:p>
    <w:p w14:paraId="00F46404" w14:textId="282ABCA5" w:rsidR="004256F0" w:rsidRPr="007C68EF" w:rsidRDefault="004256F0" w:rsidP="002D1FF2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Thời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gian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phô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̉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biến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: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Tiết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chào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cơ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̀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thư</w:t>
      </w:r>
      <w:proofErr w:type="spellEnd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́ 2,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ngày</w:t>
      </w:r>
      <w:proofErr w:type="spellEnd"/>
      <w:r w:rsidR="00756BD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="00A65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1</w:t>
      </w:r>
      <w:r w:rsidR="00A67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4</w:t>
      </w:r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/</w:t>
      </w:r>
      <w:r w:rsidR="00A67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/202</w:t>
      </w:r>
      <w:r w:rsidR="00A67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4</w:t>
      </w:r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   </w:t>
      </w:r>
    </w:p>
    <w:p w14:paraId="3AADAEDE" w14:textId="77777777" w:rsidR="004256F0" w:rsidRPr="007C68EF" w:rsidRDefault="004256F0" w:rsidP="002D1FF2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tuyên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: Nguyễn Thị Hằng Nga</w:t>
      </w:r>
      <w:r w:rsidRPr="007C68E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, GVC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4256F0" w:rsidRPr="007C68EF" w14:paraId="1A77D4FB" w14:textId="77777777" w:rsidTr="00EB25C9">
        <w:tc>
          <w:tcPr>
            <w:tcW w:w="4788" w:type="dxa"/>
          </w:tcPr>
          <w:p w14:paraId="341A4415" w14:textId="77777777" w:rsidR="004256F0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6EB298DE" w14:textId="77777777" w:rsidR="004256F0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549F622D" w14:textId="77777777" w:rsidR="004256F0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018636FC" w14:textId="77777777" w:rsidR="004256F0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14F824D6" w14:textId="77777777" w:rsidR="004256F0" w:rsidRPr="000D5654" w:rsidRDefault="004256F0" w:rsidP="002D1F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0D5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Nơi</w:t>
            </w:r>
            <w:proofErr w:type="spellEnd"/>
            <w:r w:rsidRPr="000D5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D5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nhận</w:t>
            </w:r>
            <w:proofErr w:type="spellEnd"/>
            <w:r w:rsidRPr="000D5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:</w:t>
            </w:r>
          </w:p>
          <w:p w14:paraId="0EA9DD91" w14:textId="77777777" w:rsidR="004256F0" w:rsidRDefault="004256F0" w:rsidP="002D1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Lưu VT;</w:t>
            </w:r>
          </w:p>
          <w:p w14:paraId="25A5CF05" w14:textId="77777777" w:rsidR="004256F0" w:rsidRPr="000D5654" w:rsidRDefault="004256F0" w:rsidP="002D1FF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</w:pPr>
            <w:proofErr w:type="spellStart"/>
            <w:r w:rsidRPr="000D565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Tổ</w:t>
            </w:r>
            <w:proofErr w:type="spellEnd"/>
            <w:r w:rsidRPr="000D565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 xml:space="preserve"> Pháp </w:t>
            </w:r>
            <w:proofErr w:type="spellStart"/>
            <w:r w:rsidRPr="000D565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Chế</w:t>
            </w:r>
            <w:proofErr w:type="spellEnd"/>
            <w:r w:rsidRPr="000D565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;</w:t>
            </w:r>
          </w:p>
        </w:tc>
        <w:tc>
          <w:tcPr>
            <w:tcW w:w="4788" w:type="dxa"/>
          </w:tcPr>
          <w:p w14:paraId="6503ABA6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  <w:proofErr w:type="spellStart"/>
            <w:r w:rsidRPr="007C6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Người</w:t>
            </w:r>
            <w:proofErr w:type="spellEnd"/>
            <w:r w:rsidRPr="007C6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C6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tuyên</w:t>
            </w:r>
            <w:proofErr w:type="spellEnd"/>
            <w:r w:rsidRPr="007C6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C68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truyền</w:t>
            </w:r>
            <w:proofErr w:type="spellEnd"/>
          </w:p>
          <w:p w14:paraId="58DCE3AC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2D170FE8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68CA09A0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29E030DE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18BF8426" w14:textId="77777777" w:rsidR="004256F0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Nguyễn Thị Hằng Nga</w:t>
            </w:r>
          </w:p>
          <w:p w14:paraId="063D74EF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rPr>
                <w:sz w:val="26"/>
                <w:szCs w:val="26"/>
              </w:rPr>
            </w:pPr>
          </w:p>
          <w:p w14:paraId="7EBBA11A" w14:textId="77777777" w:rsidR="004256F0" w:rsidRPr="007C68EF" w:rsidRDefault="004256F0" w:rsidP="002D1FF2">
            <w:pPr>
              <w:shd w:val="clear" w:color="auto" w:fill="FFFFFF"/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  <w:p w14:paraId="7F20700E" w14:textId="77777777" w:rsidR="004256F0" w:rsidRPr="007C68EF" w:rsidRDefault="004256F0" w:rsidP="002D1FF2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</w:pPr>
          </w:p>
        </w:tc>
      </w:tr>
    </w:tbl>
    <w:p w14:paraId="39AC0EE2" w14:textId="77777777" w:rsidR="00CB71B9" w:rsidRPr="00CB71B9" w:rsidRDefault="00CB71B9" w:rsidP="002D1F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71B9" w:rsidRPr="00CB71B9" w:rsidSect="00A67AB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B9"/>
    <w:rsid w:val="002463A6"/>
    <w:rsid w:val="002D1FF2"/>
    <w:rsid w:val="004256F0"/>
    <w:rsid w:val="00507B9A"/>
    <w:rsid w:val="00756BD7"/>
    <w:rsid w:val="007B55B6"/>
    <w:rsid w:val="007D39F8"/>
    <w:rsid w:val="00A442CD"/>
    <w:rsid w:val="00A56D5F"/>
    <w:rsid w:val="00A6552F"/>
    <w:rsid w:val="00A67AB0"/>
    <w:rsid w:val="00A83A03"/>
    <w:rsid w:val="00C333B3"/>
    <w:rsid w:val="00CB71B9"/>
    <w:rsid w:val="00C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9109"/>
  <w15:chartTrackingRefBased/>
  <w15:docId w15:val="{53D2939F-9CFB-4FA0-BD04-C23E997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B9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7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1B9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256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2023-09-19T03:47:00Z</cp:lastPrinted>
  <dcterms:created xsi:type="dcterms:W3CDTF">2023-09-18T15:35:00Z</dcterms:created>
  <dcterms:modified xsi:type="dcterms:W3CDTF">2024-10-09T08:16:00Z</dcterms:modified>
</cp:coreProperties>
</file>